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3E" w:rsidRPr="009E5672" w:rsidRDefault="00C50F3E" w:rsidP="00015D4E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672">
        <w:rPr>
          <w:rFonts w:ascii="Times New Roman" w:hAnsi="Times New Roman" w:cs="Times New Roman"/>
          <w:sz w:val="28"/>
          <w:szCs w:val="28"/>
        </w:rPr>
        <w:t>NOTAS EXPLICATIVAS AS DEMONSTRAÇÕES FINANCEIRAS</w:t>
      </w:r>
    </w:p>
    <w:p w:rsidR="00C50F3E" w:rsidRPr="009E5672" w:rsidRDefault="00C50F3E" w:rsidP="00015D4E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72">
        <w:rPr>
          <w:rFonts w:ascii="Times New Roman" w:hAnsi="Times New Roman" w:cs="Times New Roman"/>
          <w:sz w:val="28"/>
          <w:szCs w:val="28"/>
        </w:rPr>
        <w:t xml:space="preserve">EM 31 DE DEZEMBRO DE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C50F3E" w:rsidRPr="009E5672" w:rsidRDefault="00C50F3E" w:rsidP="00015D4E">
      <w:pPr>
        <w:pStyle w:val="OmniPage2"/>
        <w:spacing w:line="360" w:lineRule="auto"/>
        <w:ind w:left="0" w:right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bookmarkStart w:id="1" w:name="OP1_pOkr6H1k"/>
    </w:p>
    <w:p w:rsidR="00C50F3E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</w:t>
      </w:r>
      <w:bookmarkEnd w:id="1"/>
      <w:r w:rsidRPr="009E5672">
        <w:rPr>
          <w:rFonts w:ascii="Times New Roman" w:hAnsi="Times New Roman"/>
          <w:bCs w:val="0"/>
          <w:kern w:val="0"/>
          <w:sz w:val="24"/>
          <w:szCs w:val="24"/>
        </w:rPr>
        <w:t xml:space="preserve"> 1 </w:t>
      </w:r>
      <w:bookmarkStart w:id="2" w:name="S3"/>
      <w:bookmarkStart w:id="3" w:name="OP1_fWcm7H2k"/>
      <w:bookmarkEnd w:id="2"/>
      <w:r w:rsidRPr="009E5672">
        <w:rPr>
          <w:rFonts w:ascii="Times New Roman" w:hAnsi="Times New Roman"/>
          <w:bCs w:val="0"/>
          <w:kern w:val="0"/>
          <w:sz w:val="24"/>
          <w:szCs w:val="24"/>
        </w:rPr>
        <w:noBreakHyphen/>
      </w:r>
      <w:bookmarkEnd w:id="3"/>
      <w:r w:rsidRPr="009E5672">
        <w:rPr>
          <w:rFonts w:ascii="Times New Roman" w:hAnsi="Times New Roman"/>
          <w:bCs w:val="0"/>
          <w:kern w:val="0"/>
          <w:sz w:val="24"/>
          <w:szCs w:val="24"/>
        </w:rPr>
        <w:t xml:space="preserve"> CONTEXTO </w:t>
      </w:r>
      <w:bookmarkStart w:id="4" w:name="S4_R4143ION41L"/>
      <w:bookmarkStart w:id="5" w:name="OP1_XKNoaH7k"/>
      <w:bookmarkEnd w:id="4"/>
      <w:r w:rsidRPr="009E5672">
        <w:rPr>
          <w:rFonts w:ascii="Times New Roman" w:hAnsi="Times New Roman"/>
          <w:bCs w:val="0"/>
          <w:kern w:val="0"/>
          <w:sz w:val="24"/>
          <w:szCs w:val="24"/>
        </w:rPr>
        <w:t>OPERACIONAL</w:t>
      </w:r>
      <w:bookmarkEnd w:id="5"/>
    </w:p>
    <w:p w:rsidR="00B31D69" w:rsidRDefault="00B31D69" w:rsidP="00015D4E">
      <w:pPr>
        <w:spacing w:line="360" w:lineRule="auto"/>
        <w:rPr>
          <w:iCs/>
        </w:rPr>
      </w:pPr>
      <w:r>
        <w:t xml:space="preserve">A </w:t>
      </w:r>
      <w:r>
        <w:rPr>
          <w:iCs/>
        </w:rPr>
        <w:t>ADV - ASSOCIAÇÃO DOS DEFICIENTES DE VOTORANTIM é uma entidade sem fins lucrativos, devidamente inscrita sob CNPJ 01.729.156/0001-70</w:t>
      </w:r>
      <w:r w:rsidR="00721C57">
        <w:rPr>
          <w:iCs/>
        </w:rPr>
        <w:t xml:space="preserve"> cujos objetivos são voltados à promoção de atividades e finalidades de relevância pública e social e atenderá, guardados os limites legais e cumulados aos orçamentários às seguintes diretrizes básicas:</w:t>
      </w:r>
    </w:p>
    <w:p w:rsidR="00721C57" w:rsidRDefault="00D052B3" w:rsidP="00015D4E">
      <w:pPr>
        <w:pStyle w:val="PargrafodaLista"/>
        <w:numPr>
          <w:ilvl w:val="0"/>
          <w:numId w:val="13"/>
        </w:numPr>
        <w:spacing w:line="360" w:lineRule="auto"/>
      </w:pPr>
      <w:r>
        <w:t>Os projetos na área da }Assistência Social serão prestados de forma gratuita, ou seja, independentemente de contraprestação do usuário;</w:t>
      </w:r>
    </w:p>
    <w:p w:rsidR="00D052B3" w:rsidRDefault="00D052B3" w:rsidP="00015D4E">
      <w:pPr>
        <w:pStyle w:val="PargrafodaLista"/>
        <w:numPr>
          <w:ilvl w:val="0"/>
          <w:numId w:val="13"/>
        </w:numPr>
        <w:spacing w:line="360" w:lineRule="auto"/>
      </w:pPr>
      <w:r>
        <w:t>A promoção de seus atendimentos gratuitos será destinada a pessoas em estado de risco e de vulneração, resultados das desigualdades sociais, que estejam incluídas na Politica Nacional da Assistência Social;</w:t>
      </w:r>
    </w:p>
    <w:p w:rsidR="00D052B3" w:rsidRDefault="00D052B3" w:rsidP="00015D4E">
      <w:pPr>
        <w:pStyle w:val="PargrafodaLista"/>
        <w:numPr>
          <w:ilvl w:val="0"/>
          <w:numId w:val="13"/>
        </w:numPr>
        <w:spacing w:line="360" w:lineRule="auto"/>
      </w:pPr>
      <w:r>
        <w:t>Os serviços, programas, projetos e benefícios socioassistenciais serão ofertados na perspectiva da autonomia e garantia de direitos aos usuários;</w:t>
      </w:r>
    </w:p>
    <w:p w:rsidR="00D052B3" w:rsidRPr="00D052B3" w:rsidRDefault="00D052B3" w:rsidP="00015D4E">
      <w:pPr>
        <w:pStyle w:val="PargrafodaLista"/>
        <w:numPr>
          <w:ilvl w:val="0"/>
          <w:numId w:val="13"/>
        </w:numPr>
        <w:spacing w:line="360" w:lineRule="auto"/>
      </w:pPr>
      <w:r>
        <w:t xml:space="preserve">Primará pela garantia da existência de processos participativos dos usuários na busca do cumprimento da missão da </w:t>
      </w:r>
      <w:r>
        <w:rPr>
          <w:iCs/>
        </w:rPr>
        <w:t>ADV - ASSOCIAÇÃO DOS DEFICIENTES DE VOTORANTIM, bem como da efetividade na execução de seus serviços, projetos e benefícios socioassistenciais.</w:t>
      </w:r>
    </w:p>
    <w:p w:rsidR="00D052B3" w:rsidRDefault="00D052B3" w:rsidP="00015D4E">
      <w:pPr>
        <w:pStyle w:val="PargrafodaLista"/>
        <w:spacing w:line="360" w:lineRule="auto"/>
        <w:rPr>
          <w:iCs/>
        </w:rPr>
      </w:pPr>
    </w:p>
    <w:p w:rsidR="00D052B3" w:rsidRDefault="00D052B3" w:rsidP="00015D4E">
      <w:pPr>
        <w:pStyle w:val="PargrafodaLista"/>
        <w:spacing w:line="360" w:lineRule="auto"/>
        <w:ind w:left="0"/>
        <w:rPr>
          <w:iCs/>
        </w:rPr>
      </w:pPr>
      <w:r>
        <w:rPr>
          <w:iCs/>
        </w:rPr>
        <w:t>Para consecução de suas finalidades a ADV - ASSOCIAÇÃO DOS DEFICIENTES DE VOTORANTIM primará pelos direitos socioassistenciais mediante o desenvolvimento de programas voltados para a educação, a saúde e a assistência social.</w:t>
      </w:r>
    </w:p>
    <w:p w:rsidR="00D052B3" w:rsidRDefault="00D052B3" w:rsidP="00015D4E">
      <w:pPr>
        <w:pStyle w:val="PargrafodaLista"/>
        <w:spacing w:line="360" w:lineRule="auto"/>
        <w:ind w:left="0"/>
        <w:rPr>
          <w:iCs/>
        </w:rPr>
      </w:pPr>
    </w:p>
    <w:p w:rsidR="00D052B3" w:rsidRDefault="00D052B3" w:rsidP="00015D4E">
      <w:pPr>
        <w:pStyle w:val="PargrafodaLista"/>
        <w:spacing w:line="360" w:lineRule="auto"/>
        <w:ind w:left="0"/>
        <w:rPr>
          <w:iCs/>
        </w:rPr>
      </w:pPr>
      <w:r>
        <w:rPr>
          <w:iCs/>
        </w:rPr>
        <w:t>A ADV - ASSOCIAÇÃO DOS DEFICIENTES DE VOTORANTIM tem por finalidade:</w:t>
      </w:r>
    </w:p>
    <w:p w:rsidR="00D052B3" w:rsidRDefault="00D052B3" w:rsidP="00015D4E">
      <w:pPr>
        <w:pStyle w:val="PargrafodaLista"/>
        <w:numPr>
          <w:ilvl w:val="0"/>
          <w:numId w:val="14"/>
        </w:numPr>
        <w:spacing w:line="360" w:lineRule="auto"/>
        <w:rPr>
          <w:iCs/>
        </w:rPr>
      </w:pPr>
      <w:r>
        <w:rPr>
          <w:iCs/>
        </w:rPr>
        <w:t>Prestar assistência às pessoas com deficiência física ou múltiplas deficiências, orientando e encaminhando para o acesso e/ou a continuidade do tratamento em serviços especializados;</w:t>
      </w:r>
    </w:p>
    <w:p w:rsidR="00D052B3" w:rsidRDefault="00D052B3" w:rsidP="00015D4E">
      <w:pPr>
        <w:pStyle w:val="PargrafodaLista"/>
        <w:numPr>
          <w:ilvl w:val="0"/>
          <w:numId w:val="14"/>
        </w:numPr>
        <w:spacing w:line="360" w:lineRule="auto"/>
        <w:rPr>
          <w:iCs/>
        </w:rPr>
      </w:pPr>
      <w:r>
        <w:rPr>
          <w:iCs/>
        </w:rPr>
        <w:t xml:space="preserve">Promover o atendimento e assessoramento das </w:t>
      </w:r>
      <w:r w:rsidR="003C0AFC">
        <w:rPr>
          <w:iCs/>
        </w:rPr>
        <w:t>pessoas com deficiência física ou múltiplas deficiências e a defesa e a garantia de seus direitos;</w:t>
      </w:r>
    </w:p>
    <w:p w:rsidR="003C0AFC" w:rsidRDefault="003C0AFC" w:rsidP="00015D4E">
      <w:pPr>
        <w:pStyle w:val="PargrafodaLista"/>
        <w:numPr>
          <w:ilvl w:val="0"/>
          <w:numId w:val="14"/>
        </w:numPr>
        <w:spacing w:line="360" w:lineRule="auto"/>
        <w:rPr>
          <w:iCs/>
        </w:rPr>
      </w:pPr>
      <w:r>
        <w:rPr>
          <w:iCs/>
        </w:rPr>
        <w:t>Promover um serviço de convivência e fortalecimento de vínculos às pessoas com deficiência física ou múltiplas deficiências, juntamente com as famílias;</w:t>
      </w:r>
    </w:p>
    <w:p w:rsidR="003C0AFC" w:rsidRDefault="003C0AFC" w:rsidP="00015D4E">
      <w:pPr>
        <w:pStyle w:val="PargrafodaLista"/>
        <w:numPr>
          <w:ilvl w:val="0"/>
          <w:numId w:val="14"/>
        </w:numPr>
        <w:spacing w:line="360" w:lineRule="auto"/>
        <w:rPr>
          <w:iCs/>
        </w:rPr>
      </w:pPr>
      <w:r>
        <w:rPr>
          <w:iCs/>
        </w:rPr>
        <w:t>Prestar atendimento em psicologia às pessoas com deficiência física ou múltiplas deficiências.</w:t>
      </w:r>
    </w:p>
    <w:p w:rsidR="003C0AFC" w:rsidRDefault="003C0AFC" w:rsidP="00015D4E">
      <w:pPr>
        <w:pStyle w:val="PargrafodaLista"/>
        <w:spacing w:line="360" w:lineRule="auto"/>
        <w:rPr>
          <w:iCs/>
        </w:rPr>
      </w:pPr>
    </w:p>
    <w:p w:rsidR="003C0AFC" w:rsidRDefault="003C0AFC" w:rsidP="00015D4E">
      <w:pPr>
        <w:pStyle w:val="PargrafodaLista"/>
        <w:spacing w:line="360" w:lineRule="auto"/>
        <w:ind w:left="0"/>
        <w:rPr>
          <w:iCs/>
        </w:rPr>
      </w:pPr>
      <w:r>
        <w:rPr>
          <w:iCs/>
        </w:rPr>
        <w:t>A ADV - ASSOCIAÇÃO DOS DEFICIENTES DE VOTORANTIM tem por objetivos :</w:t>
      </w:r>
    </w:p>
    <w:p w:rsidR="003C0AFC" w:rsidRDefault="003C0AFC" w:rsidP="00015D4E">
      <w:pPr>
        <w:pStyle w:val="PargrafodaLista"/>
        <w:spacing w:line="360" w:lineRule="auto"/>
        <w:ind w:left="0"/>
        <w:rPr>
          <w:iCs/>
        </w:rPr>
      </w:pPr>
    </w:p>
    <w:p w:rsidR="003C0AFC" w:rsidRDefault="00F2556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Disponibilizar atendimentos multiprofissionais e multidisciplinares às pessoas com deficiência física ou múltiplas deficiências, promovendo sua integração , reabilitação e habilitação;</w:t>
      </w:r>
    </w:p>
    <w:p w:rsidR="00F2556D" w:rsidRDefault="00513EC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Proporcionar terapias em grupo e individuais, tais como, fonoaudiologia, fisioterapia, terapia ocupacional, psicologia e musicalidade;</w:t>
      </w:r>
    </w:p>
    <w:p w:rsidR="00513ECD" w:rsidRDefault="00513EC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Preparar as pessoas com deficiência física ou múltiplas deficiências para o mundo do trabalho, por meio de oficinas pedagógicas e profissionalizantes;</w:t>
      </w:r>
    </w:p>
    <w:p w:rsidR="00513ECD" w:rsidRDefault="00513EC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lastRenderedPageBreak/>
        <w:t>Promover meios de orientação, visando a integração no convívio familiar e social, para os pais ou responsáveis pelas pessoas com deficiência física ou múltiplas deficiências;</w:t>
      </w:r>
    </w:p>
    <w:p w:rsidR="00513ECD" w:rsidRDefault="00513EC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Desenvolver a cultura especializada e o treinamento de pessoas, visando a capacitação para o atendimento de pessoas com deficiência física ou múltiplas deficiências;</w:t>
      </w:r>
    </w:p>
    <w:p w:rsidR="00513ECD" w:rsidRDefault="00513ECD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Desenvolver e implementar programas, projetos e atividades diversas visando sua autossustentação, inclusive com atendimento a particulares na área da saúde e da educação;</w:t>
      </w:r>
    </w:p>
    <w:p w:rsidR="00513ECD" w:rsidRDefault="00F25377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Promover ações que contribuam para a inclusão social e pleno exercício da cidadania das pessoas com deficiência física ou múltiplas deficiências;</w:t>
      </w:r>
    </w:p>
    <w:p w:rsidR="00F25377" w:rsidRDefault="00F25377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>
        <w:rPr>
          <w:iCs/>
        </w:rPr>
        <w:t>Promover a integração de seus serviços com outras organizações afins;</w:t>
      </w:r>
    </w:p>
    <w:p w:rsidR="00F2556D" w:rsidRPr="0010318D" w:rsidRDefault="00F25377" w:rsidP="00015D4E">
      <w:pPr>
        <w:pStyle w:val="PargrafodaLista"/>
        <w:numPr>
          <w:ilvl w:val="0"/>
          <w:numId w:val="15"/>
        </w:numPr>
        <w:spacing w:line="360" w:lineRule="auto"/>
        <w:rPr>
          <w:iCs/>
        </w:rPr>
      </w:pPr>
      <w:r w:rsidRPr="0010318D">
        <w:rPr>
          <w:iCs/>
        </w:rPr>
        <w:t>Realização de exames de audiometria.</w:t>
      </w:r>
    </w:p>
    <w:p w:rsidR="00B31D69" w:rsidRPr="00B31D69" w:rsidRDefault="00B31D69" w:rsidP="00015D4E">
      <w:pPr>
        <w:spacing w:line="360" w:lineRule="auto"/>
      </w:pPr>
    </w:p>
    <w:p w:rsidR="00C50F3E" w:rsidRPr="009E5672" w:rsidRDefault="00C50F3E" w:rsidP="00015D4E">
      <w:pPr>
        <w:pStyle w:val="OmniPage2"/>
        <w:spacing w:line="360" w:lineRule="auto"/>
        <w:ind w:left="0" w:right="0"/>
        <w:jc w:val="both"/>
        <w:rPr>
          <w:rFonts w:ascii="Times New Roman" w:hAnsi="Times New Roman" w:cs="Times New Roman"/>
          <w:b/>
          <w:noProof w:val="0"/>
          <w:sz w:val="24"/>
          <w:szCs w:val="24"/>
          <w:highlight w:val="darkRed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bookmarkStart w:id="6" w:name="S5"/>
      <w:bookmarkEnd w:id="6"/>
      <w:r w:rsidRPr="009E5672">
        <w:rPr>
          <w:rFonts w:ascii="Times New Roman" w:hAnsi="Times New Roman"/>
          <w:bCs w:val="0"/>
          <w:kern w:val="0"/>
          <w:sz w:val="24"/>
          <w:szCs w:val="24"/>
        </w:rPr>
        <w:t>NOTA 2 - APRESENTAÇÃO DAS DEMONSTRAÇÕES CONTÁBEIS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rPr>
          <w:iCs/>
        </w:rPr>
      </w:pPr>
      <w:r w:rsidRPr="009E5672">
        <w:rPr>
          <w:iCs/>
        </w:rPr>
        <w:t>Na elaboração das demonstrações financeiras de 201</w:t>
      </w:r>
      <w:r w:rsidR="00B31D69">
        <w:rPr>
          <w:iCs/>
        </w:rPr>
        <w:t>5</w:t>
      </w:r>
      <w:r w:rsidRPr="009E5672">
        <w:rPr>
          <w:iCs/>
        </w:rPr>
        <w:t xml:space="preserve">, 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adotou a Lei n° 11.638/2007, Lei No. 11.941/09 que alteraram artigos da Lei No. 6.404/76 em aspectos relativos à elaboração e divulgação das demonstrações financeiras.</w:t>
      </w: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iCs/>
        </w:rPr>
        <w:t xml:space="preserve">As demonstrações contábeis foram elaboradas em observância às práticas contábeis adotadas no Brasil, características qualitativas da informação contábil,  Resolução No. 1.374/11 (NBC TG), que trata da Estrutura Conceitual para a Elaboração e Apresentação das Demonstrações Contábeis, Resolução No. 1.376/11 (NBC TG 26), que trata da Apresentação das Demonstrações Contábeis, Pronunciamentos, as Orientações e as Interpretações emitidas pelo Comitê de Pronunciamentos Contábeis (CPC), Deliberações da Comissão de Valores Mobiliários (CVM) e outras Normas emitidas pelo Conselho Federal de Contabilidade (CFC) e aplicáveis às </w:t>
      </w:r>
      <w:r>
        <w:rPr>
          <w:iCs/>
        </w:rPr>
        <w:t>Entidade</w:t>
      </w:r>
      <w:r w:rsidRPr="009E5672">
        <w:rPr>
          <w:iCs/>
        </w:rPr>
        <w:t xml:space="preserve">s sem Fins Lucrativos, e especialmente a Resolução n° 877 de 2000 que aprovou a NBC T 10.19, alterada pelas Resoluções ns° 926 e 966, que estabelece critérios e procedimentos específicos de avaliação, de registros dos componentes e variações patrimoniais e de estruturação das demonstrações contábeis, e as informações mínimas a serem divulgadas em nota explicativa das </w:t>
      </w:r>
      <w:r>
        <w:rPr>
          <w:iCs/>
        </w:rPr>
        <w:t>entidade</w:t>
      </w:r>
      <w:r w:rsidRPr="009E5672">
        <w:rPr>
          <w:iCs/>
        </w:rPr>
        <w:t>s sem finalidade de lucros.</w:t>
      </w: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3 – FORMALIDADE DA ESCRITURAÇÃO CONTÁBIL RESOLUÇÃO 1.330/11 (NBC ITG 2000)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iCs/>
        </w:rPr>
        <w:t xml:space="preserve">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mantêm um sistema de escrituração uniforme dos seus atos e fatos administrativos, por meio de processo eletrônico.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iCs/>
        </w:rPr>
        <w:t>O registro contábil contem o número de identificação dos lançamentos relacionados ao respectivo documento de origem externa ou interna ou, na sua falta, em elementos que comprovem ou evidenciem fatos e a prática de atos administrativos.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iCs/>
        </w:rPr>
        <w:t xml:space="preserve">As demonstrações contábeis, incluindo as notas explicativas, elaboradas por disposições legais e estatutárias, serão transcritas no “Diário” da </w:t>
      </w:r>
      <w:r>
        <w:rPr>
          <w:iCs/>
        </w:rPr>
        <w:t>ADV - ASSOCIAÇÃO DOS DEFICIENTES DE VOTORANTIM</w:t>
      </w:r>
      <w:r w:rsidRPr="009E5672">
        <w:rPr>
          <w:iCs/>
        </w:rPr>
        <w:t>, e posteriormente registrado no Cartório de Registros de Pessoas Jurídicas.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iCs/>
        </w:rPr>
        <w:t xml:space="preserve">A documentação contábil da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é composta por  todos os documentos, livros, papéis, registros e outras peças, que apóiam ou compõem a escrituração contábil.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iCs/>
        </w:rPr>
        <w:lastRenderedPageBreak/>
        <w:t xml:space="preserve">A documentação contábil é hábil, revestida das características intrínsecas ou extrínsecas essenciais, definidas na legislação, na técnica-contábil ou aceitas pelos “usos e costumes”. 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manter em boa ordem a documentação contábil.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4 - PRINCIPAIS PRÁTICAS CONTÁBEIS ADOTADAS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numPr>
          <w:ilvl w:val="0"/>
          <w:numId w:val="1"/>
        </w:numPr>
        <w:suppressAutoHyphens/>
        <w:spacing w:line="360" w:lineRule="auto"/>
        <w:ind w:left="0" w:firstLine="0"/>
        <w:jc w:val="both"/>
      </w:pPr>
      <w:r w:rsidRPr="009E5672">
        <w:rPr>
          <w:b/>
          <w:iCs/>
        </w:rPr>
        <w:t>Caixa e Equivalentes de Caixa</w:t>
      </w:r>
      <w:r w:rsidRPr="009E5672">
        <w:t xml:space="preserve">: Conforme determina a Resolução do CFC No. 1.296/10 (NBC –TG 03) – Demonstração do Fluxo de Caixa e Resolução do CFC No. </w:t>
      </w:r>
      <w:r w:rsidRPr="009E5672">
        <w:rPr>
          <w:iCs/>
        </w:rPr>
        <w:t>1.376/11 (NBC TG 26)</w:t>
      </w:r>
      <w:r w:rsidRPr="009E5672">
        <w:t xml:space="preserve"> – Apresentação Demonstrações Contábeis, os valores contabilizados neste sub-grupo representam moeda em caixa e depósitos à vista em conta bancária, bem como os recursos que possuem as mesmas características de liquidez de caixa e de disponibilidade imediata ou até 90 (noventa) dias e que estão sujeitos a insignificante risco de mudança de valor</w:t>
      </w:r>
      <w:r w:rsidRPr="009E5672">
        <w:rPr>
          <w:color w:val="000000"/>
          <w:lang w:eastAsia="en-US"/>
        </w:rPr>
        <w:t>;</w:t>
      </w:r>
    </w:p>
    <w:p w:rsidR="00C50F3E" w:rsidRPr="009E5672" w:rsidRDefault="00C50F3E" w:rsidP="00015D4E">
      <w:pPr>
        <w:suppressAutoHyphens/>
        <w:spacing w:line="360" w:lineRule="auto"/>
        <w:jc w:val="both"/>
      </w:pPr>
    </w:p>
    <w:p w:rsidR="00C50F3E" w:rsidRPr="009E5672" w:rsidRDefault="00C50F3E" w:rsidP="00015D4E">
      <w:pPr>
        <w:numPr>
          <w:ilvl w:val="0"/>
          <w:numId w:val="1"/>
        </w:numPr>
        <w:suppressAutoHyphens/>
        <w:spacing w:line="360" w:lineRule="auto"/>
        <w:ind w:left="0" w:firstLine="0"/>
        <w:jc w:val="both"/>
      </w:pPr>
      <w:r w:rsidRPr="009E5672">
        <w:rPr>
          <w:b/>
          <w:iCs/>
        </w:rPr>
        <w:t>Aplicações de Liquidez Imediata:</w:t>
      </w:r>
      <w:r w:rsidRPr="009E5672">
        <w:rPr>
          <w:iCs/>
        </w:rPr>
        <w:t xml:space="preserve"> As aplicações financeiras estão</w:t>
      </w:r>
      <w:r w:rsidRPr="009E5672">
        <w:t xml:space="preserve"> demonstradas pelos valores originais aplicados, acrescidos dos rendimentos pró-rata até a data do balanço;</w:t>
      </w:r>
    </w:p>
    <w:p w:rsidR="00C50F3E" w:rsidRPr="009E5672" w:rsidRDefault="00C50F3E" w:rsidP="00015D4E">
      <w:pPr>
        <w:suppressAutoHyphens/>
        <w:spacing w:line="360" w:lineRule="auto"/>
        <w:jc w:val="both"/>
      </w:pPr>
    </w:p>
    <w:p w:rsidR="00C50F3E" w:rsidRPr="009E5672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b/>
          <w:iCs/>
        </w:rPr>
        <w:t>c) Ativos circulantes e não circulantes. – Contas a receber de clientes</w:t>
      </w:r>
      <w:r w:rsidRPr="009E5672">
        <w:rPr>
          <w:b/>
        </w:rPr>
        <w:t xml:space="preserve"> -</w:t>
      </w:r>
      <w:r w:rsidRPr="009E5672">
        <w:t xml:space="preserve"> </w:t>
      </w:r>
      <w:r w:rsidRPr="009E5672">
        <w:rPr>
          <w:iCs/>
        </w:rPr>
        <w:t xml:space="preserve">As contas a receber de clientes são registradas pelo valor faturado. </w:t>
      </w:r>
    </w:p>
    <w:p w:rsidR="00C50F3E" w:rsidRPr="009E5672" w:rsidRDefault="00C50F3E" w:rsidP="00015D4E">
      <w:pPr>
        <w:suppressAutoHyphens/>
        <w:spacing w:line="360" w:lineRule="auto"/>
        <w:jc w:val="both"/>
      </w:pPr>
    </w:p>
    <w:p w:rsidR="00C50F3E" w:rsidRDefault="00C50F3E" w:rsidP="00015D4E">
      <w:pPr>
        <w:suppressAutoHyphens/>
        <w:spacing w:line="360" w:lineRule="auto"/>
        <w:jc w:val="both"/>
        <w:rPr>
          <w:iCs/>
        </w:rPr>
      </w:pPr>
      <w:r w:rsidRPr="009E5672">
        <w:rPr>
          <w:b/>
          <w:iCs/>
        </w:rPr>
        <w:t>d) Imobilizado –</w:t>
      </w:r>
      <w:r w:rsidRPr="009E5672">
        <w:t xml:space="preserve"> </w:t>
      </w:r>
      <w:r w:rsidRPr="009E5672">
        <w:rPr>
          <w:iCs/>
        </w:rPr>
        <w:t>Os ativos imobilizados são registrados pelo custo de aquisição ou construção, deduzido da depreciação calculada pelo método linear com base nas taxas mencionadas na Nota 8 e leva em consideração vida útil e utilização dos bens (Resolução CFC No. 1.177/09 (NBC – TG 27). Outros gastos são capitalizados apenas quando há um aumento nos benefícios econômicos desse item do imobilizado. Qualquer outro tipo de gasto é reconhecido no resultado como despesa quando incorrido.</w:t>
      </w:r>
    </w:p>
    <w:p w:rsidR="00C50F3E" w:rsidRDefault="00C50F3E" w:rsidP="00015D4E">
      <w:pPr>
        <w:suppressAutoHyphens/>
        <w:spacing w:line="360" w:lineRule="auto"/>
        <w:jc w:val="both"/>
        <w:rPr>
          <w:b/>
          <w:iCs/>
        </w:rPr>
      </w:pPr>
    </w:p>
    <w:p w:rsidR="00C50F3E" w:rsidRPr="009E5672" w:rsidRDefault="00C50F3E" w:rsidP="00015D4E">
      <w:pPr>
        <w:suppressAutoHyphens/>
        <w:spacing w:line="360" w:lineRule="auto"/>
        <w:jc w:val="both"/>
        <w:rPr>
          <w:b/>
        </w:rPr>
      </w:pPr>
      <w:r w:rsidRPr="009E5672">
        <w:rPr>
          <w:b/>
          <w:iCs/>
        </w:rPr>
        <w:t>e) Passivo Circulante e Não Circulante:</w:t>
      </w:r>
      <w:r w:rsidRPr="009E5672">
        <w:t xml:space="preserve">  </w:t>
      </w:r>
      <w:r w:rsidRPr="009E5672">
        <w:rPr>
          <w:iCs/>
        </w:rPr>
        <w:t>Os passivos circulantes e não circulantes são demonstrados pelos valores conhecidos ou calculáveis acrescidos, quando aplicável, dos correspondentes encargo incorridas até a data do balanço patrimonial. Quando aplicável, os passivos circulantes e não circulantes são registrados com base em taxas de juros que refletem o prazo, a moeda e o risco de cada transação</w:t>
      </w:r>
      <w:r w:rsidRPr="009E5672">
        <w:rPr>
          <w:b/>
          <w:iCs/>
        </w:rPr>
        <w:t>. – Provisões –</w:t>
      </w:r>
      <w:r w:rsidRPr="009E5672">
        <w:t xml:space="preserve"> </w:t>
      </w:r>
      <w:r w:rsidRPr="009E5672">
        <w:rPr>
          <w:iCs/>
        </w:rPr>
        <w:t>Uma provisão é reconhecida em decorrência de um evento passado que originou um passivo, sendo provável que um recurso econômico possa ser requerido para saldar a obrigação. As provisões são registradas quando julgadas prováveis e com base nas melhores estimativas do risco envolvido</w:t>
      </w:r>
      <w:r w:rsidRPr="009E5672">
        <w:t>.</w:t>
      </w:r>
    </w:p>
    <w:p w:rsidR="00C50F3E" w:rsidRPr="009E5672" w:rsidRDefault="00C50F3E" w:rsidP="00015D4E">
      <w:pPr>
        <w:spacing w:line="360" w:lineRule="auto"/>
        <w:jc w:val="both"/>
        <w:rPr>
          <w:highlight w:val="cyan"/>
        </w:rPr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</w:rPr>
        <w:t xml:space="preserve">f) Prazos: </w:t>
      </w:r>
      <w:r w:rsidRPr="009E5672">
        <w:t>Os ativos realizáveis e os passivos exigíveis até o encerramento do exercício seguinte são classificados como circulantes.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b/>
          <w:iCs/>
        </w:rPr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  <w:iCs/>
        </w:rPr>
        <w:t xml:space="preserve">g) Provisão de Férias e Encargos: </w:t>
      </w:r>
      <w:r w:rsidRPr="009E5672">
        <w:rPr>
          <w:iCs/>
        </w:rPr>
        <w:t>Foram provisionadas com base nos</w:t>
      </w:r>
      <w:r w:rsidRPr="009E5672">
        <w:t xml:space="preserve"> direitos adquiridos pelos empregados até a data do balanço.</w:t>
      </w:r>
    </w:p>
    <w:p w:rsidR="00C50F3E" w:rsidRPr="009E5672" w:rsidRDefault="00C50F3E" w:rsidP="00015D4E">
      <w:pPr>
        <w:suppressAutoHyphens/>
        <w:spacing w:line="360" w:lineRule="auto"/>
        <w:jc w:val="both"/>
        <w:rPr>
          <w:b/>
          <w:i/>
        </w:rPr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  <w:iCs/>
        </w:rPr>
        <w:t xml:space="preserve">h) Provisão de 13º Salário e Encargos: </w:t>
      </w:r>
      <w:r w:rsidRPr="009E5672">
        <w:rPr>
          <w:iCs/>
        </w:rPr>
        <w:t>Foram provisionadas com base nos direitos adquiridos pelos empregados e baixados conforme o pagamento até a data do balanço</w:t>
      </w:r>
      <w:r w:rsidRPr="009E5672">
        <w:t>.</w:t>
      </w:r>
    </w:p>
    <w:p w:rsidR="00C50F3E" w:rsidRPr="009E5672" w:rsidRDefault="00C50F3E" w:rsidP="00015D4E">
      <w:pPr>
        <w:spacing w:line="360" w:lineRule="auto"/>
        <w:ind w:firstLine="360"/>
        <w:jc w:val="both"/>
        <w:rPr>
          <w:b/>
          <w:bCs/>
          <w:highlight w:val="cyan"/>
        </w:rPr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  <w:iCs/>
        </w:rPr>
        <w:t xml:space="preserve">i) As Despesas e as Receitas: </w:t>
      </w:r>
      <w:r w:rsidRPr="009E5672">
        <w:rPr>
          <w:iCs/>
        </w:rPr>
        <w:t>Estão apropriadas obedecendo ao regime de</w:t>
      </w:r>
      <w:r w:rsidRPr="009E5672">
        <w:t xml:space="preserve"> competência. </w:t>
      </w:r>
    </w:p>
    <w:p w:rsidR="00C50F3E" w:rsidRPr="009E5672" w:rsidRDefault="00C50F3E" w:rsidP="00015D4E">
      <w:pPr>
        <w:suppressAutoHyphens/>
        <w:spacing w:line="360" w:lineRule="auto"/>
        <w:jc w:val="both"/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  <w:iCs/>
        </w:rPr>
        <w:lastRenderedPageBreak/>
        <w:t>j) Apuração do Resultado:</w:t>
      </w:r>
      <w:r w:rsidRPr="009E5672">
        <w:rPr>
          <w:iCs/>
        </w:rPr>
        <w:t xml:space="preserve"> O resultado foi apurado segundo o Regime de</w:t>
      </w:r>
      <w:r w:rsidRPr="009E5672">
        <w:t xml:space="preserve"> Competência. As receitas de prestação de serviços são mensuradas pelo valor justo (acordado em contrato - valores recebidos ou a receber) e reconhecidas quando for provável que benefícios econômicos futuros fluam para a </w:t>
      </w:r>
      <w:r>
        <w:t>ADV - ASSOCIAÇÃO DOS DEFICIENTES DE VOTORANTIM</w:t>
      </w:r>
      <w:r w:rsidRPr="009E5672">
        <w:t xml:space="preserve"> e assim possam ser confiavelmente mensurados.</w:t>
      </w:r>
      <w:r w:rsidRPr="009E5672">
        <w:rPr>
          <w:color w:val="000000"/>
        </w:rPr>
        <w:t xml:space="preserve"> </w:t>
      </w:r>
      <w:r w:rsidRPr="009E5672">
        <w:t>Os rendimentos e encargos incidentes sobre os Ativos e Passivos e suas realizações estão reconhecidas no resultado.</w:t>
      </w:r>
    </w:p>
    <w:p w:rsidR="00C50F3E" w:rsidRPr="009E5672" w:rsidRDefault="00C50F3E" w:rsidP="00015D4E">
      <w:pPr>
        <w:suppressAutoHyphens/>
        <w:spacing w:line="360" w:lineRule="auto"/>
        <w:jc w:val="both"/>
      </w:pPr>
    </w:p>
    <w:p w:rsidR="00C50F3E" w:rsidRPr="009E5672" w:rsidRDefault="00C50F3E" w:rsidP="00015D4E">
      <w:pPr>
        <w:suppressAutoHyphens/>
        <w:spacing w:line="360" w:lineRule="auto"/>
        <w:jc w:val="both"/>
      </w:pPr>
      <w:r w:rsidRPr="009E5672">
        <w:rPr>
          <w:b/>
          <w:iCs/>
        </w:rPr>
        <w:t xml:space="preserve">k) Estimativas contábeis: </w:t>
      </w:r>
      <w:r w:rsidRPr="009E5672">
        <w:rPr>
          <w:iCs/>
        </w:rPr>
        <w:t xml:space="preserve">A elaboração das demonstrações contábeis de acordo com as práticas contábeis adotadas no Brasil, requer que a Administração da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use de julgamento na determinação e no registro de estimativas contábeis. Ativos e passivos sujeitos a essas estimativas e premissas incluem o valor residual do Ativo imobilizado, Provisão para Devedores Duvidosos, Provisão para Desvalorização de Estoques, Provisão para Contingências e Ativos e Passivos relacionados a benefícios a empregados. A liquidação das transações envolvendo essas estimativas poderá resultar em valores diferentes dos estimados, em razão de imprecisões inerentes ao processo da sua determinação. A </w:t>
      </w:r>
      <w:r>
        <w:rPr>
          <w:iCs/>
        </w:rPr>
        <w:t>ADV - ASSOCIAÇÃO DOS DEFICIENTES DE VOTORANTIM</w:t>
      </w:r>
      <w:r w:rsidRPr="009E5672">
        <w:rPr>
          <w:iCs/>
        </w:rPr>
        <w:t xml:space="preserve"> revisa as estimativas e as premissas pelo menos anualmente. </w:t>
      </w:r>
    </w:p>
    <w:p w:rsidR="00C50F3E" w:rsidRPr="009E5672" w:rsidRDefault="00C50F3E" w:rsidP="00015D4E">
      <w:pPr>
        <w:spacing w:line="360" w:lineRule="auto"/>
        <w:rPr>
          <w:highlight w:val="yellow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5 – MUDANÇAS ESTIMATIVAS CONTÁBEIS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Conforme determinação da Resolução CFC No. </w:t>
      </w:r>
      <w:r w:rsidRPr="009E5672">
        <w:rPr>
          <w:iCs/>
        </w:rPr>
        <w:t>1.177/09 (NBC – TG 27),</w:t>
      </w:r>
      <w:r w:rsidRPr="009E5672">
        <w:t xml:space="preserve"> a </w:t>
      </w:r>
      <w:r>
        <w:t>ADV - ASSOCIAÇÃO DOS DEFICIENTES DE VOTORANTIM</w:t>
      </w:r>
      <w:r w:rsidRPr="009E5672">
        <w:t xml:space="preserve"> alterou suas taxas de depreciação de acordo com a vida útil e utilização dos bens. Este fato, conforme previsão da Resolução CFC No. 1.179/09 ( NBC TG 23) – Políticas Contábeis, Mudanças de Estimativas e Retificação de Erro, é considerado uma mudança de estimativa contábil prospectiva (vida útil de um ativo depreciável ou no padrão esperado de consumo dos futuros benefícios desse tipo de ativo), afetando a depreciação do período corrente e de cada um dos períodos futuros durante a vida útil remanescente do ativo. O valor do montante de mudança na estimativa contábil que teve efeito no pe</w:t>
      </w:r>
      <w:r w:rsidR="000B1ABF">
        <w:t>ríodo corrente é de R$ 4.109,33</w:t>
      </w:r>
      <w:r w:rsidRPr="009E5672">
        <w:t>, e o montante dos efeitos de períodos subseqüentes não foi divulgado porque a estimativa do mesmo é impraticável</w:t>
      </w:r>
    </w:p>
    <w:p w:rsidR="00C50F3E" w:rsidRPr="009E5672" w:rsidRDefault="00C50F3E" w:rsidP="00015D4E">
      <w:pPr>
        <w:spacing w:line="360" w:lineRule="auto"/>
        <w:jc w:val="both"/>
        <w:rPr>
          <w:rFonts w:eastAsia="SimSun"/>
          <w:b/>
          <w:bCs/>
          <w:lang w:eastAsia="zh-CN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6 – OUTROS ATIVOS CIRCULANTES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Este grupo é composto pelos seguros, assinaturas contratadas e material didático do exercício </w:t>
      </w:r>
      <w:r w:rsidR="00B31D69">
        <w:t>2015</w:t>
      </w:r>
      <w:r w:rsidRPr="009E5672">
        <w:t>, cujo período de vigência beneficia o exercício seguinte e estão representadas pelo seu valor nominal, bem como adiantamentos, valores a recuperar e outros valores a receber das atividades sustentáveis.</w:t>
      </w: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  <w:highlight w:val="yellow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7 – ATIVO NÃO-CIRCULANTE (REALIZÁVEL A LONGO PRAZO)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>Este grupo esta composto por valores a receber e recuperar, onde consistem de valores cujo vencimento ultrapassam o exercício subseqüente.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rPr>
          <w:b/>
          <w:color w:val="000000"/>
          <w:lang w:eastAsia="en-US"/>
        </w:rPr>
      </w:pPr>
      <w:r w:rsidRPr="009E5672">
        <w:rPr>
          <w:b/>
          <w:bCs/>
        </w:rPr>
        <w:t>NOTA 8 – ATIVO NÃO-CIRCULANTE (IMOBILIZADO E INTANGÍVEL)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lastRenderedPageBreak/>
        <w:t xml:space="preserve">Os ativos Imobilizados e Intangíveis são contabilizados pelo custo de aquisição ou construção, deduzidos da depreciação do período, originando o valor liquido contábil. </w:t>
      </w:r>
    </w:p>
    <w:p w:rsidR="00C50F3E" w:rsidRPr="009E5672" w:rsidRDefault="00C50F3E" w:rsidP="00015D4E">
      <w:pPr>
        <w:spacing w:line="360" w:lineRule="auto"/>
        <w:jc w:val="both"/>
        <w:rPr>
          <w:lang w:eastAsia="en-US"/>
        </w:rPr>
      </w:pPr>
    </w:p>
    <w:p w:rsidR="00C50F3E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9 – OBRIGAÇÕES A CURTO PRAZO (PASSIVO CIRCULANTE)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>Este grupo está composto pelo seu valor nominal, original e representa o saldo credor de fornecedores em geral, obrigações fiscais-empregatícias, tributárias e outras obrigações, bem como as provisões sociais.</w:t>
      </w: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  <w:highlight w:val="yellow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10 - PATRIMÔNIO LÍQUIDO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>O patrimônio líquido é apresentado em valores atualizados e compreende o Patrimônio Social, acrescido do resultado do exercício (mencionar se superávit ou déficit) ocorrido, os bens recebidos através de doações patrimoniais e o ajuste de avaliação patrimonial considerados, enquanto não computados no resultado do exercício em obediência ao regime de competência, as contrapartidas de aumentos ou diminuições de valor atribuído a elementos do ativo e do passivo, em decorrência da sua avaliação e preço de mercado.</w:t>
      </w:r>
    </w:p>
    <w:p w:rsidR="00C50F3E" w:rsidRPr="009E5672" w:rsidRDefault="00C50F3E" w:rsidP="00015D4E">
      <w:pPr>
        <w:spacing w:line="360" w:lineRule="auto"/>
        <w:rPr>
          <w:highlight w:val="yellow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11 – AJUSTE EXERCÍCIOS ANTERIORES</w:t>
      </w:r>
    </w:p>
    <w:p w:rsidR="00C50F3E" w:rsidRPr="009E5672" w:rsidRDefault="00C50F3E" w:rsidP="00015D4E">
      <w:pPr>
        <w:spacing w:line="360" w:lineRule="auto"/>
        <w:rPr>
          <w:b/>
          <w:bCs/>
          <w:u w:val="single"/>
        </w:rPr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Conforme Lei 6.404, artigo 186, foram escriturados no Patrimônio Líquido, conta Ajustes de Exercícios Anteriores os saldos decorrentes de efeitos provocados por erro imputável a exercício anterior ou mudança de critérios contábeis que vinham sendo utilizados pela </w:t>
      </w:r>
      <w:r>
        <w:t>ADV - ASSOCIAÇÃO DOS DEFICIENTES DE VOTORANTIM</w:t>
      </w:r>
      <w:r w:rsidRPr="009E5672">
        <w:t>.</w:t>
      </w:r>
    </w:p>
    <w:p w:rsidR="00C50F3E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</w:pPr>
    </w:p>
    <w:p w:rsidR="00C50F3E" w:rsidRPr="009E5672" w:rsidRDefault="00C50F3E" w:rsidP="00015D4E">
      <w:pPr>
        <w:spacing w:line="360" w:lineRule="auto"/>
        <w:jc w:val="both"/>
        <w:rPr>
          <w:b/>
          <w:bCs/>
        </w:rPr>
      </w:pPr>
      <w:r w:rsidRPr="009E5672">
        <w:rPr>
          <w:b/>
          <w:bCs/>
        </w:rPr>
        <w:t>NOTA 12 – Subvenções e/ou Convênios Públicos Resolução CFC No. 1.305/10 ( NBC  TG 07)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São recursos financeiros provenientes de convênios firmados com órgãos governamentais, e tem como objetivo principal operacionalizar projetos e atividades pré-determinadas. Periodicamente, a </w:t>
      </w:r>
      <w:r>
        <w:t>ADV - ASSOCIAÇÃO DOS DEFICIENTES DE VOTORANTIM</w:t>
      </w:r>
      <w:r w:rsidRPr="009E5672">
        <w:t xml:space="preserve"> presta conta de todo o fluxo financeiro e operacional aos órgãos competentes, ficando também toda documentação a disposição para qualquer fiscalização. Os convênios firmados estão de acordo com o estatuto social da </w:t>
      </w:r>
      <w:r>
        <w:t>ADV - ASSOCIAÇÃO DOS DEFICIENTES DE VOTORANTIM</w:t>
      </w:r>
      <w:r w:rsidRPr="009E5672">
        <w:t xml:space="preserve"> e as despesas de acordo com suas finalidades.</w:t>
      </w:r>
    </w:p>
    <w:p w:rsidR="00C50F3E" w:rsidRPr="009E5672" w:rsidRDefault="00C50F3E" w:rsidP="00015D4E">
      <w:pPr>
        <w:spacing w:line="360" w:lineRule="auto"/>
        <w:ind w:firstLine="708"/>
        <w:jc w:val="both"/>
      </w:pPr>
    </w:p>
    <w:p w:rsidR="00C50F3E" w:rsidRDefault="00C50F3E" w:rsidP="00015D4E">
      <w:pPr>
        <w:spacing w:line="360" w:lineRule="auto"/>
        <w:jc w:val="both"/>
        <w:rPr>
          <w:b/>
          <w:bCs/>
        </w:rPr>
      </w:pPr>
      <w:r w:rsidRPr="009E5672">
        <w:t xml:space="preserve">A </w:t>
      </w:r>
      <w:r>
        <w:t>ADV - ASSOCIAÇÃO DOS DEFICIENTES DE VOTORANTIM</w:t>
      </w:r>
      <w:r w:rsidRPr="009E5672">
        <w:t xml:space="preserve"> para a contabilização de suas subvenções governamentais, atendeu a Resolução  CFC No. 1.305/10.</w:t>
      </w:r>
    </w:p>
    <w:p w:rsidR="00C50F3E" w:rsidRDefault="00C50F3E" w:rsidP="00015D4E">
      <w:pPr>
        <w:spacing w:line="360" w:lineRule="auto"/>
        <w:jc w:val="both"/>
        <w:rPr>
          <w:b/>
          <w:bCs/>
        </w:rPr>
      </w:pPr>
    </w:p>
    <w:p w:rsidR="00C50F3E" w:rsidRPr="009E5672" w:rsidRDefault="00C50F3E" w:rsidP="00015D4E">
      <w:pPr>
        <w:spacing w:line="360" w:lineRule="auto"/>
        <w:jc w:val="both"/>
      </w:pPr>
      <w:r w:rsidRPr="009E5672">
        <w:rPr>
          <w:b/>
          <w:bCs/>
        </w:rPr>
        <w:t>NOTA 13 – RECEITAS (Resolução CFC No. 1.187/09)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Em atendimento a Resolução do CFC No. 1.187/09 que aprova a NBC TG 30, as receitas (fontes de recursos) da </w:t>
      </w:r>
      <w:r>
        <w:t>ADV - ASSOCIAÇÃO DOS DEFICIENTES DE VOTORANTIM</w:t>
      </w:r>
      <w:r w:rsidRPr="009E5672">
        <w:t xml:space="preserve"> oriundas das atividades fins são mensuradas pelo valor da vaga da contraprestação recebida ou a receber, baseada na Planilha de </w:t>
      </w:r>
      <w:r w:rsidRPr="009E5672">
        <w:lastRenderedPageBreak/>
        <w:t xml:space="preserve">Custo Educacional (Lei No. 9.870/99) e formalizada pelo contrato de prestação de serviços educacionais. Outras receitas também seguem o mesmo critério, ou seja, reconhecida quando for provável que os benefícios econômicos associados à transação fluirão para a </w:t>
      </w:r>
      <w:r>
        <w:t>ADV - ASSOCIAÇÃO DOS DEFICIENTES DE VOTORANTIM</w:t>
      </w:r>
      <w:r w:rsidRPr="009E5672">
        <w:t>.</w:t>
      </w:r>
    </w:p>
    <w:p w:rsidR="00C50F3E" w:rsidRDefault="00C50F3E" w:rsidP="00015D4E">
      <w:pPr>
        <w:spacing w:line="360" w:lineRule="auto"/>
        <w:jc w:val="both"/>
      </w:pPr>
      <w:r w:rsidRPr="009E5672">
        <w:t xml:space="preserve">As atividades sustentáveis (meios) possuem previsão no artigo 6º de seu Estatuto Social, e para que a </w:t>
      </w:r>
    </w:p>
    <w:p w:rsidR="00C50F3E" w:rsidRPr="009E5672" w:rsidRDefault="00C50F3E" w:rsidP="00015D4E">
      <w:pPr>
        <w:spacing w:line="360" w:lineRule="auto"/>
        <w:jc w:val="both"/>
      </w:pPr>
      <w:r>
        <w:t>ADV - ASSOCIAÇÃO DOS DEFICIENTES DE VOTORANTIM</w:t>
      </w:r>
      <w:r w:rsidRPr="009E5672">
        <w:t xml:space="preserve"> faça jus a Imunidade e/ou Isenção Tributária sobre essas atividades, conforme estabelecido no artigo 14 do Código Tributário Nacional, artigo 12 da Lei No. 9.532/97 e artigo 29 da Lei No. 12.101/09, cumpre os requisitos abaixo:</w:t>
      </w:r>
    </w:p>
    <w:p w:rsidR="00C50F3E" w:rsidRPr="009E5672" w:rsidRDefault="00C50F3E" w:rsidP="00015D4E">
      <w:pPr>
        <w:numPr>
          <w:ilvl w:val="0"/>
          <w:numId w:val="2"/>
        </w:numPr>
        <w:spacing w:line="360" w:lineRule="auto"/>
        <w:jc w:val="both"/>
      </w:pPr>
      <w:r w:rsidRPr="009E5672">
        <w:t>As atividades sustentáveis (meios) possuem previsão estatutária;</w:t>
      </w:r>
    </w:p>
    <w:p w:rsidR="00C50F3E" w:rsidRPr="009E5672" w:rsidRDefault="00C50F3E" w:rsidP="00015D4E">
      <w:pPr>
        <w:numPr>
          <w:ilvl w:val="0"/>
          <w:numId w:val="2"/>
        </w:numPr>
        <w:spacing w:line="360" w:lineRule="auto"/>
        <w:jc w:val="both"/>
      </w:pPr>
      <w:r w:rsidRPr="009E5672">
        <w:t>O Estatuto Social indica que os recursos (superávits) obtidos por essas receitas são revertidos (para atendimento) de suas atividades fins (objetivos sociais);</w:t>
      </w:r>
    </w:p>
    <w:p w:rsidR="00C50F3E" w:rsidRPr="009E5672" w:rsidRDefault="00C50F3E" w:rsidP="00015D4E">
      <w:pPr>
        <w:numPr>
          <w:ilvl w:val="0"/>
          <w:numId w:val="2"/>
        </w:numPr>
        <w:spacing w:line="360" w:lineRule="auto"/>
        <w:jc w:val="both"/>
      </w:pPr>
      <w:r w:rsidRPr="009E5672">
        <w:t xml:space="preserve">O Demonstrativo do Superávit ou Déficit do Exercício (DSDE) da </w:t>
      </w:r>
      <w:r>
        <w:t>ADV - ASSOCIAÇÃO DOS DEFICIENTES DE VOTORANTIM</w:t>
      </w:r>
      <w:r w:rsidRPr="009E5672">
        <w:t xml:space="preserve"> demonstrou que as atividades sustentáveis são superavitárias, ou seja, geram recursos para a manutenção das atividades fins (objetivos sociais).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14 – OUTRAS RECEITAS / DESPESAS (FATOS EXTRAORDINÁRIOS)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jc w:val="both"/>
      </w:pPr>
      <w:r w:rsidRPr="009E5672">
        <w:t xml:space="preserve">Conforme a Resolução 1.152/09 que aprova NBC TG 13 e 1.157/09 que aprova CTG 02 e a Medida Provisória No. 449/08 (atual Lei 11.941/09) as receitas e despesas não operacionais foram classificadas no Grupo “Outras Receitas / Despesas” no grupo operacional e não após a linha do “resultado operacional”. </w:t>
      </w:r>
    </w:p>
    <w:p w:rsidR="00C50F3E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</w:p>
    <w:p w:rsidR="00C50F3E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15 – DO RESULTADO DO EXERCÍCIO</w:t>
      </w:r>
    </w:p>
    <w:p w:rsidR="00C50F3E" w:rsidRPr="009E5672" w:rsidRDefault="00C50F3E" w:rsidP="00015D4E">
      <w:pPr>
        <w:spacing w:line="360" w:lineRule="auto"/>
      </w:pPr>
    </w:p>
    <w:p w:rsidR="00C50F3E" w:rsidRPr="009E5672" w:rsidRDefault="000B1ABF" w:rsidP="00015D4E">
      <w:pPr>
        <w:spacing w:line="360" w:lineRule="auto"/>
        <w:jc w:val="both"/>
      </w:pPr>
      <w:r>
        <w:t>O superavit</w:t>
      </w:r>
      <w:r w:rsidR="00C50F3E" w:rsidRPr="009E5672">
        <w:t xml:space="preserve"> do exercício de </w:t>
      </w:r>
      <w:r>
        <w:t>2015</w:t>
      </w:r>
      <w:r w:rsidR="00C50F3E" w:rsidRPr="009E5672">
        <w:t xml:space="preserve"> será incorporado ao Patrimônio Social em conformidade com as exigências legais, estatutárias e a Resolução 877/2000 que aprovou a NBC T 10.19 em especial no item 10.19.2.7 que descreve que o superávit ou déficit do exercício deve ser registrado na conta Superávit ou Déficit do Exercício enquanto não aprovado pela assembléia dos associados e após a sua aprovação, deve ser transferido para a conta do Patrimônio Social.</w:t>
      </w:r>
    </w:p>
    <w:p w:rsidR="00C50F3E" w:rsidRPr="009E5672" w:rsidRDefault="00C50F3E" w:rsidP="00015D4E">
      <w:pPr>
        <w:widowControl w:val="0"/>
        <w:spacing w:line="360" w:lineRule="auto"/>
        <w:ind w:right="57"/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16 – DOAÇÕES E CONTRIBUIÇÕES RECEBIDAS</w:t>
      </w:r>
    </w:p>
    <w:p w:rsidR="00C50F3E" w:rsidRPr="009E5672" w:rsidRDefault="00C50F3E" w:rsidP="00015D4E">
      <w:pPr>
        <w:spacing w:line="360" w:lineRule="auto"/>
      </w:pPr>
    </w:p>
    <w:p w:rsidR="00C50F3E" w:rsidRPr="00843440" w:rsidRDefault="00C50F3E" w:rsidP="00015D4E">
      <w:pPr>
        <w:pStyle w:val="Corpodetexto"/>
        <w:spacing w:line="360" w:lineRule="auto"/>
        <w:jc w:val="both"/>
      </w:pPr>
      <w:r w:rsidRPr="00843440">
        <w:t xml:space="preserve">Eventualmente a </w:t>
      </w:r>
      <w:r>
        <w:t>ADV - ASSOCIAÇÃO DOS DEFICIENTES DE VOTORANTIM</w:t>
      </w:r>
      <w:r w:rsidRPr="00843440">
        <w:t xml:space="preserve"> recebe doações e/ou contribuições de pessoas físicas e/ou jurídicas, previstas no seu Estatuto Social</w:t>
      </w:r>
      <w:r>
        <w:t>.</w:t>
      </w:r>
    </w:p>
    <w:p w:rsidR="00C50F3E" w:rsidRPr="009E5672" w:rsidRDefault="00C50F3E" w:rsidP="00015D4E">
      <w:pPr>
        <w:spacing w:line="360" w:lineRule="auto"/>
        <w:rPr>
          <w:b/>
          <w:bCs/>
        </w:rPr>
      </w:pPr>
    </w:p>
    <w:p w:rsidR="00C50F3E" w:rsidRPr="009E5672" w:rsidRDefault="00C50F3E" w:rsidP="00015D4E">
      <w:pPr>
        <w:spacing w:line="360" w:lineRule="auto"/>
        <w:jc w:val="both"/>
        <w:rPr>
          <w:b/>
          <w:bCs/>
        </w:rPr>
      </w:pPr>
      <w:r w:rsidRPr="009E5672">
        <w:rPr>
          <w:b/>
          <w:bCs/>
        </w:rPr>
        <w:t>NOTA 17 - IMUNIDADE TRIBUTÁRIA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285E63" w:rsidRDefault="00C50F3E" w:rsidP="00015D4E">
      <w:pPr>
        <w:spacing w:line="360" w:lineRule="auto"/>
        <w:jc w:val="both"/>
      </w:pPr>
      <w:r w:rsidRPr="009E5672">
        <w:lastRenderedPageBreak/>
        <w:t xml:space="preserve">A </w:t>
      </w:r>
      <w:r>
        <w:t>ADV - ASSOCIAÇÃO DOS DEFICIENTES DE VOTORANTIM</w:t>
      </w:r>
      <w:r w:rsidRPr="009E5672">
        <w:t xml:space="preserve"> é imune à incidência de impostos por força do art. 150, Inciso VI, alínea”C” e seu parágrafo 4º e artigo 195, parágrafo 7° da Constituição Federal de 05 de outubro de 1988.</w:t>
      </w:r>
    </w:p>
    <w:p w:rsidR="00C50F3E" w:rsidRDefault="00C50F3E" w:rsidP="00015D4E">
      <w:pPr>
        <w:widowControl w:val="0"/>
        <w:spacing w:line="360" w:lineRule="auto"/>
        <w:ind w:right="57"/>
        <w:rPr>
          <w:b/>
          <w:bCs/>
        </w:rPr>
      </w:pPr>
    </w:p>
    <w:p w:rsidR="00C50F3E" w:rsidRDefault="00C50F3E" w:rsidP="00015D4E">
      <w:pPr>
        <w:widowControl w:val="0"/>
        <w:spacing w:line="360" w:lineRule="auto"/>
        <w:ind w:right="57"/>
        <w:rPr>
          <w:b/>
          <w:bCs/>
        </w:rPr>
      </w:pPr>
    </w:p>
    <w:p w:rsidR="00C50F3E" w:rsidRPr="009E5672" w:rsidRDefault="00C50F3E" w:rsidP="00015D4E">
      <w:pPr>
        <w:widowControl w:val="0"/>
        <w:spacing w:line="360" w:lineRule="auto"/>
        <w:ind w:right="57"/>
      </w:pPr>
      <w:r w:rsidRPr="009E5672">
        <w:rPr>
          <w:b/>
          <w:bCs/>
        </w:rPr>
        <w:t>NOTA 18 – FORMA JURÍDICA CONFORME A LEGISLAÇÃO VIGENTE</w:t>
      </w:r>
    </w:p>
    <w:p w:rsidR="00C50F3E" w:rsidRPr="009E5672" w:rsidRDefault="00C50F3E" w:rsidP="00015D4E">
      <w:pPr>
        <w:widowControl w:val="0"/>
        <w:spacing w:line="360" w:lineRule="auto"/>
        <w:ind w:right="57"/>
      </w:pPr>
    </w:p>
    <w:p w:rsidR="00C50F3E" w:rsidRDefault="00C50F3E" w:rsidP="00015D4E">
      <w:pPr>
        <w:widowControl w:val="0"/>
        <w:spacing w:line="360" w:lineRule="auto"/>
        <w:ind w:right="57"/>
        <w:rPr>
          <w:b/>
          <w:bCs/>
        </w:rPr>
      </w:pPr>
      <w:r w:rsidRPr="009E5672">
        <w:t xml:space="preserve">A </w:t>
      </w:r>
      <w:r>
        <w:t>ADV - ASSOCIAÇÃO DOS DEFICIENTES DE VOTORANTIM</w:t>
      </w:r>
      <w:r w:rsidRPr="009E5672">
        <w:t xml:space="preserve">  é uma associação sem fins lucrativos e econômicos regida pelo seu Estatuto Social que contempla os artigos 44 à 61 do Código Civil.</w:t>
      </w:r>
    </w:p>
    <w:p w:rsidR="00C50F3E" w:rsidRDefault="00C50F3E" w:rsidP="00015D4E">
      <w:pPr>
        <w:widowControl w:val="0"/>
        <w:spacing w:line="360" w:lineRule="auto"/>
        <w:ind w:right="57"/>
        <w:rPr>
          <w:b/>
          <w:bCs/>
        </w:rPr>
      </w:pPr>
    </w:p>
    <w:p w:rsidR="00C50F3E" w:rsidRPr="009E5672" w:rsidRDefault="00C50F3E" w:rsidP="00015D4E">
      <w:pPr>
        <w:widowControl w:val="0"/>
        <w:spacing w:line="360" w:lineRule="auto"/>
        <w:ind w:right="57"/>
      </w:pPr>
      <w:r w:rsidRPr="009E5672">
        <w:rPr>
          <w:b/>
          <w:bCs/>
        </w:rPr>
        <w:t>NOTA 19 – CARACTERÍSTICA DA IMUNIDADE</w:t>
      </w:r>
    </w:p>
    <w:p w:rsidR="00C50F3E" w:rsidRPr="009E5672" w:rsidRDefault="00C50F3E" w:rsidP="00015D4E">
      <w:pPr>
        <w:widowControl w:val="0"/>
        <w:spacing w:line="360" w:lineRule="auto"/>
        <w:ind w:right="57"/>
      </w:pPr>
    </w:p>
    <w:p w:rsidR="00C50F3E" w:rsidRDefault="00C50F3E" w:rsidP="00015D4E">
      <w:pPr>
        <w:widowControl w:val="0"/>
        <w:spacing w:line="360" w:lineRule="auto"/>
        <w:ind w:right="57"/>
      </w:pPr>
      <w:r w:rsidRPr="009E5672">
        <w:t xml:space="preserve">A </w:t>
      </w:r>
      <w:r>
        <w:t>ADV - ASSOCIAÇÃO DOS DEFICIENTES DE VOTORANTIM</w:t>
      </w:r>
      <w:r w:rsidRPr="009E5672">
        <w:t xml:space="preserve"> é uma instituição social sem fins lucrativos e econômicos, previsto no artigo 9</w:t>
      </w:r>
      <w:r w:rsidRPr="009E5672">
        <w:rPr>
          <w:vertAlign w:val="superscript"/>
        </w:rPr>
        <w:t>o</w:t>
      </w:r>
      <w:r w:rsidRPr="009E5672">
        <w:t xml:space="preserve">. do CTN, e por isso imune, no qual usufrui das seguintes características: </w:t>
      </w:r>
    </w:p>
    <w:p w:rsidR="00C50F3E" w:rsidRPr="009E5672" w:rsidRDefault="00C50F3E" w:rsidP="00015D4E">
      <w:pPr>
        <w:widowControl w:val="0"/>
        <w:numPr>
          <w:ilvl w:val="0"/>
          <w:numId w:val="3"/>
        </w:numPr>
        <w:spacing w:line="360" w:lineRule="auto"/>
        <w:ind w:left="714" w:right="57" w:hanging="357"/>
        <w:jc w:val="both"/>
      </w:pPr>
      <w:r w:rsidRPr="009E5672">
        <w:t>a Instituição é regida pela Constituição Federal;</w:t>
      </w:r>
    </w:p>
    <w:p w:rsidR="00C50F3E" w:rsidRPr="009E5672" w:rsidRDefault="00C50F3E" w:rsidP="00015D4E">
      <w:pPr>
        <w:widowControl w:val="0"/>
        <w:numPr>
          <w:ilvl w:val="0"/>
          <w:numId w:val="3"/>
        </w:numPr>
        <w:spacing w:line="360" w:lineRule="auto"/>
        <w:ind w:left="714" w:right="57" w:hanging="357"/>
        <w:jc w:val="both"/>
      </w:pPr>
      <w:r w:rsidRPr="009E5672">
        <w:t>a imunidade não pode ser revogada, nem mesmo por emenda constitucional;</w:t>
      </w:r>
    </w:p>
    <w:p w:rsidR="00C50F3E" w:rsidRPr="009E5672" w:rsidRDefault="00C50F3E" w:rsidP="00015D4E">
      <w:pPr>
        <w:widowControl w:val="0"/>
        <w:numPr>
          <w:ilvl w:val="0"/>
          <w:numId w:val="3"/>
        </w:numPr>
        <w:spacing w:line="360" w:lineRule="auto"/>
        <w:ind w:left="714" w:right="57" w:hanging="357"/>
        <w:jc w:val="both"/>
      </w:pPr>
      <w:r w:rsidRPr="009E5672">
        <w:t>não há o fato gerador (nascimento da obrigação tributária);</w:t>
      </w:r>
    </w:p>
    <w:p w:rsidR="00C50F3E" w:rsidRPr="009E5672" w:rsidRDefault="00C50F3E" w:rsidP="00015D4E">
      <w:pPr>
        <w:widowControl w:val="0"/>
        <w:numPr>
          <w:ilvl w:val="0"/>
          <w:numId w:val="3"/>
        </w:numPr>
        <w:spacing w:line="360" w:lineRule="auto"/>
        <w:ind w:left="714" w:right="57" w:hanging="357"/>
        <w:jc w:val="both"/>
      </w:pPr>
      <w:r w:rsidRPr="009E5672">
        <w:t>não há o direito (Governo) de instituir, nem cobrar tributo.</w:t>
      </w:r>
    </w:p>
    <w:p w:rsidR="00C50F3E" w:rsidRPr="009E5672" w:rsidRDefault="00C50F3E" w:rsidP="00015D4E">
      <w:pPr>
        <w:widowControl w:val="0"/>
        <w:spacing w:line="360" w:lineRule="auto"/>
        <w:ind w:right="57"/>
      </w:pP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  <w:rPr>
          <w:b/>
        </w:rPr>
      </w:pPr>
      <w:r w:rsidRPr="009E5672">
        <w:rPr>
          <w:b/>
        </w:rPr>
        <w:t>NOTA 20 – REQUISITOS PARA IMUNIDADE TRIBUTÁRIA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A única Lei Complementar que traz requisitos para o gozo da imunidade tributária é o Código Tributário Nacional (CTN). </w:t>
      </w: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O artigo 14 do Código Tributário Nacional estabelece os requisitos para o gozo da imunidade tributária, esses estão previstos no Estatuto Social da </w:t>
      </w:r>
      <w:r>
        <w:t>ADV - ASSOCIAÇÃO DOS DEFICIENTES DE VOTORANTIM</w:t>
      </w:r>
      <w:r w:rsidRPr="009E5672">
        <w:t xml:space="preserve"> e seu cumprimento (operacionalização) pode ser comprovado pela sua escrituração contábil (Demonstrações Contábeis, Diário e Razão), no qual transcrevemos:</w:t>
      </w: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a) não distribuem qualquer parcela de seu patrimônio ou de suas rendas, a qualquer título </w:t>
      </w: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b) aplicam integralmente, no País, os seus recursos na manutenção dos seus objetivos institucionais </w:t>
      </w: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c) mantêm a escrituração de suas receitas e despesas em livros revestidos de formalidades capazes de assegurar sua exatidão </w:t>
      </w:r>
    </w:p>
    <w:p w:rsidR="00C50F3E" w:rsidRPr="009E5672" w:rsidRDefault="00C50F3E" w:rsidP="00015D4E">
      <w:pPr>
        <w:pStyle w:val="OmniPage3"/>
        <w:spacing w:line="360" w:lineRule="auto"/>
        <w:ind w:left="0" w:righ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0F3E" w:rsidRPr="009E5672" w:rsidRDefault="000B1ABF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>NOTA 21</w:t>
      </w:r>
      <w:r w:rsidR="00C50F3E" w:rsidRPr="009E5672">
        <w:rPr>
          <w:rFonts w:ascii="Times New Roman" w:hAnsi="Times New Roman"/>
          <w:bCs w:val="0"/>
          <w:kern w:val="0"/>
          <w:sz w:val="24"/>
          <w:szCs w:val="24"/>
        </w:rPr>
        <w:t xml:space="preserve"> – FORMALIZAÇÃO DOS PROJETOS SOCIAIS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A </w:t>
      </w:r>
      <w:r>
        <w:t>ADV - ASSOCIAÇÃO DOS DEFICIENTES DE VOTORANTIM</w:t>
      </w:r>
      <w:r w:rsidRPr="009E5672">
        <w:t xml:space="preserve"> no desenvolvimento de suas ações sócio assistenciais formaliza </w:t>
      </w:r>
      <w:smartTag w:uri="urn:schemas-microsoft-com:office:smarttags" w:element="PersonName">
        <w:smartTagPr>
          <w:attr w:name="ProductID" w:val="em cada Projeto Social"/>
        </w:smartTagPr>
        <w:r w:rsidRPr="009E5672">
          <w:t>em cada Projeto Social</w:t>
        </w:r>
      </w:smartTag>
      <w:r w:rsidRPr="009E5672">
        <w:t xml:space="preserve">: os objetivos do mesmo; origem de recursos; infra-estrutura;  tipificando os serviços a serem executados (conforme Resolução do CNAS No. 109/09 e Decreto No. 6.308/07); público-alvo, capacidade de atendimento, recurso financeiro utilizado, recursos humanos envolvidos, abrangência territorial e demonstração da forma de participação dos usuários e/ou </w:t>
      </w:r>
      <w:r w:rsidRPr="009E5672">
        <w:lastRenderedPageBreak/>
        <w:t>estratégias que serão utilizadas para esta participação nas etapas de elaboração, execução, avaliação e monitoramento do projeto.</w:t>
      </w: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E5672">
        <w:rPr>
          <w:rFonts w:ascii="Times New Roman" w:hAnsi="Times New Roman"/>
          <w:bCs w:val="0"/>
          <w:kern w:val="0"/>
          <w:sz w:val="24"/>
          <w:szCs w:val="24"/>
        </w:rPr>
        <w:t>NOTA 2</w:t>
      </w:r>
      <w:r w:rsidR="000B1ABF">
        <w:rPr>
          <w:rFonts w:ascii="Times New Roman" w:hAnsi="Times New Roman"/>
          <w:bCs w:val="0"/>
          <w:kern w:val="0"/>
          <w:sz w:val="24"/>
          <w:szCs w:val="24"/>
        </w:rPr>
        <w:t>2</w:t>
      </w:r>
      <w:r w:rsidRPr="009E5672">
        <w:rPr>
          <w:rFonts w:ascii="Times New Roman" w:hAnsi="Times New Roman"/>
          <w:bCs w:val="0"/>
          <w:kern w:val="0"/>
          <w:sz w:val="24"/>
          <w:szCs w:val="24"/>
        </w:rPr>
        <w:t xml:space="preserve"> – TIPIFICAÇÃO DAS AÇÕES ASSISTENCIAIS, CUSTOS ENVOLVIDOS E FORMA DE CONTABILIZAÇÃO</w:t>
      </w:r>
    </w:p>
    <w:p w:rsidR="00C50F3E" w:rsidRPr="009E5672" w:rsidRDefault="00C50F3E" w:rsidP="00015D4E">
      <w:pPr>
        <w:pStyle w:val="Ttulo1"/>
        <w:suppressAutoHyphens/>
        <w:spacing w:before="0" w:after="0" w:line="36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</w:p>
    <w:p w:rsidR="00C50F3E" w:rsidRPr="009E5672" w:rsidRDefault="00C50F3E" w:rsidP="00015D4E">
      <w:pPr>
        <w:spacing w:line="360" w:lineRule="auto"/>
        <w:jc w:val="both"/>
      </w:pPr>
      <w:r w:rsidRPr="009E5672">
        <w:t xml:space="preserve">A </w:t>
      </w:r>
      <w:r>
        <w:t>ADV - ASSOCIAÇÃO DOS DEFICIENTES DE VOTORANTIM</w:t>
      </w:r>
      <w:r w:rsidRPr="009E5672">
        <w:t xml:space="preserve"> em atendimento a Resolução do CNAS No. 109/09 e Decreto No. 6.308/07 tipificou suas atividades de assistência social conforme exposto na Demonstração de Superávit do Exercício.</w:t>
      </w:r>
    </w:p>
    <w:p w:rsidR="00C50F3E" w:rsidRPr="009E5672" w:rsidRDefault="00C50F3E" w:rsidP="00015D4E">
      <w:pPr>
        <w:spacing w:line="360" w:lineRule="auto"/>
        <w:jc w:val="both"/>
      </w:pPr>
    </w:p>
    <w:p w:rsidR="00C50F3E" w:rsidRDefault="00C50F3E" w:rsidP="00015D4E">
      <w:pPr>
        <w:spacing w:line="360" w:lineRule="auto"/>
        <w:jc w:val="center"/>
        <w:rPr>
          <w:b/>
        </w:rPr>
      </w:pPr>
    </w:p>
    <w:p w:rsidR="00C50F3E" w:rsidRDefault="00C50F3E" w:rsidP="00015D4E">
      <w:pPr>
        <w:spacing w:line="360" w:lineRule="auto"/>
        <w:ind w:left="708"/>
        <w:jc w:val="both"/>
        <w:rPr>
          <w:b/>
        </w:rPr>
      </w:pPr>
    </w:p>
    <w:p w:rsidR="00C50F3E" w:rsidRDefault="00C50F3E" w:rsidP="00015D4E">
      <w:pPr>
        <w:spacing w:line="360" w:lineRule="auto"/>
        <w:ind w:left="708"/>
        <w:jc w:val="both"/>
      </w:pPr>
    </w:p>
    <w:p w:rsidR="00C50F3E" w:rsidRDefault="00C50F3E" w:rsidP="00015D4E">
      <w:pPr>
        <w:spacing w:line="360" w:lineRule="auto"/>
        <w:ind w:left="708"/>
        <w:jc w:val="both"/>
      </w:pPr>
    </w:p>
    <w:p w:rsidR="00C50F3E" w:rsidRDefault="00C50F3E" w:rsidP="00015D4E">
      <w:pPr>
        <w:spacing w:line="360" w:lineRule="auto"/>
        <w:ind w:left="708"/>
        <w:jc w:val="both"/>
      </w:pPr>
    </w:p>
    <w:p w:rsidR="00445D1F" w:rsidRDefault="00445D1F" w:rsidP="00445D1F">
      <w:pPr>
        <w:spacing w:line="360" w:lineRule="auto"/>
        <w:ind w:left="708"/>
        <w:jc w:val="both"/>
      </w:pPr>
      <w:r>
        <w:t>Maria José Pereira da Silva</w:t>
      </w:r>
      <w:r>
        <w:tab/>
      </w:r>
      <w:r>
        <w:tab/>
      </w:r>
      <w:r>
        <w:tab/>
        <w:t>Delta Contabilidade</w:t>
      </w:r>
      <w:r>
        <w:tab/>
      </w:r>
      <w:r>
        <w:tab/>
      </w:r>
      <w:r>
        <w:tab/>
      </w:r>
    </w:p>
    <w:p w:rsidR="00445D1F" w:rsidRDefault="00445D1F" w:rsidP="00445D1F">
      <w:pPr>
        <w:spacing w:line="360" w:lineRule="auto"/>
        <w:ind w:left="708"/>
        <w:jc w:val="both"/>
      </w:pPr>
      <w:r>
        <w:t>CPF: 081.829.208-33</w:t>
      </w:r>
      <w:r>
        <w:tab/>
      </w:r>
      <w:r>
        <w:tab/>
      </w:r>
      <w:r>
        <w:tab/>
        <w:t xml:space="preserve">            CNPJ: 10.814.477/0001-64</w:t>
      </w:r>
    </w:p>
    <w:p w:rsidR="00445D1F" w:rsidRDefault="00445D1F" w:rsidP="00445D1F">
      <w:pPr>
        <w:spacing w:line="360" w:lineRule="auto"/>
        <w:ind w:left="708"/>
        <w:jc w:val="both"/>
      </w:pPr>
      <w:r>
        <w:t>RG: 19.635.603-9</w:t>
      </w:r>
      <w:r>
        <w:tab/>
      </w:r>
      <w:r>
        <w:tab/>
      </w:r>
      <w:r>
        <w:tab/>
        <w:t xml:space="preserve">            Silvia Janaina Moral</w:t>
      </w:r>
    </w:p>
    <w:p w:rsidR="00445D1F" w:rsidRDefault="00445D1F" w:rsidP="00445D1F">
      <w:pPr>
        <w:spacing w:line="360" w:lineRule="auto"/>
        <w:ind w:left="708"/>
        <w:jc w:val="both"/>
      </w:pPr>
      <w:r>
        <w:t>Presidente</w:t>
      </w:r>
      <w:r>
        <w:tab/>
      </w:r>
      <w:r>
        <w:tab/>
      </w:r>
      <w:r>
        <w:tab/>
      </w:r>
      <w:r>
        <w:tab/>
      </w:r>
      <w:r>
        <w:tab/>
        <w:t>CPF: 248.831.498-62</w:t>
      </w:r>
      <w:r>
        <w:tab/>
      </w:r>
      <w:r>
        <w:tab/>
      </w:r>
      <w:r>
        <w:tab/>
      </w:r>
    </w:p>
    <w:p w:rsidR="00445D1F" w:rsidRDefault="00445D1F" w:rsidP="00445D1F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CRC: 1SP250727/0-O</w:t>
      </w:r>
    </w:p>
    <w:p w:rsidR="00285E63" w:rsidRDefault="00285E63" w:rsidP="00015D4E">
      <w:pPr>
        <w:spacing w:line="360" w:lineRule="auto"/>
        <w:ind w:left="708"/>
        <w:jc w:val="both"/>
      </w:pPr>
    </w:p>
    <w:sectPr w:rsidR="00285E63" w:rsidSect="002D70A9">
      <w:headerReference w:type="default" r:id="rId9"/>
      <w:footerReference w:type="even" r:id="rId10"/>
      <w:footerReference w:type="default" r:id="rId11"/>
      <w:pgSz w:w="11906" w:h="16838" w:code="9"/>
      <w:pgMar w:top="1418" w:right="1701" w:bottom="0" w:left="1701" w:header="709" w:footer="0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98" w:rsidRDefault="00915998" w:rsidP="00364FBF">
      <w:r>
        <w:separator/>
      </w:r>
    </w:p>
  </w:endnote>
  <w:endnote w:type="continuationSeparator" w:id="0">
    <w:p w:rsidR="00915998" w:rsidRDefault="00915998" w:rsidP="003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3E" w:rsidRDefault="003E500F">
    <w:pPr>
      <w:pStyle w:val="Rodap"/>
    </w:pPr>
    <w:r>
      <w:rPr>
        <w:noProof/>
        <w:lang w:eastAsia="pt-BR"/>
      </w:rPr>
      <w:drawing>
        <wp:inline distT="0" distB="0" distL="0" distR="0">
          <wp:extent cx="5395595" cy="615950"/>
          <wp:effectExtent l="0" t="0" r="0" b="0"/>
          <wp:docPr id="1" name="Imagem 1" descr="ender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er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5595" cy="615950"/>
          <wp:effectExtent l="0" t="0" r="0" b="0"/>
          <wp:docPr id="2" name="Imagem 2" descr="ender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er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5595" cy="615950"/>
          <wp:effectExtent l="0" t="0" r="0" b="0"/>
          <wp:docPr id="3" name="Imagem 3" descr="ender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der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3E" w:rsidRDefault="00C50F3E" w:rsidP="00364FB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98" w:rsidRDefault="00915998" w:rsidP="00364FBF">
      <w:r>
        <w:separator/>
      </w:r>
    </w:p>
  </w:footnote>
  <w:footnote w:type="continuationSeparator" w:id="0">
    <w:p w:rsidR="00915998" w:rsidRDefault="00915998" w:rsidP="003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3E" w:rsidRDefault="00C50F3E" w:rsidP="00364F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7D"/>
    <w:multiLevelType w:val="hybridMultilevel"/>
    <w:tmpl w:val="6792A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FA"/>
    <w:multiLevelType w:val="hybridMultilevel"/>
    <w:tmpl w:val="120822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6C8"/>
    <w:multiLevelType w:val="hybridMultilevel"/>
    <w:tmpl w:val="589CC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5682"/>
    <w:multiLevelType w:val="hybridMultilevel"/>
    <w:tmpl w:val="1B54C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59C2"/>
    <w:multiLevelType w:val="singleLevel"/>
    <w:tmpl w:val="FCA2600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5">
    <w:nsid w:val="40E72B28"/>
    <w:multiLevelType w:val="hybridMultilevel"/>
    <w:tmpl w:val="993C2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F9F"/>
    <w:multiLevelType w:val="hybridMultilevel"/>
    <w:tmpl w:val="870C3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16B53"/>
    <w:multiLevelType w:val="hybridMultilevel"/>
    <w:tmpl w:val="1F788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954BD"/>
    <w:multiLevelType w:val="hybridMultilevel"/>
    <w:tmpl w:val="3E8E49E6"/>
    <w:lvl w:ilvl="0" w:tplc="F370AD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414D"/>
    <w:multiLevelType w:val="hybridMultilevel"/>
    <w:tmpl w:val="F208B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4857"/>
    <w:multiLevelType w:val="hybridMultilevel"/>
    <w:tmpl w:val="B38EC2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B04BB"/>
    <w:multiLevelType w:val="hybridMultilevel"/>
    <w:tmpl w:val="67E88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F466F"/>
    <w:multiLevelType w:val="hybridMultilevel"/>
    <w:tmpl w:val="9CB2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364F3"/>
    <w:multiLevelType w:val="hybridMultilevel"/>
    <w:tmpl w:val="185C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E1F17"/>
    <w:multiLevelType w:val="hybridMultilevel"/>
    <w:tmpl w:val="C8588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5"/>
    <w:rsid w:val="00015D4E"/>
    <w:rsid w:val="000223AD"/>
    <w:rsid w:val="00036929"/>
    <w:rsid w:val="00051FF4"/>
    <w:rsid w:val="000A0D1B"/>
    <w:rsid w:val="000B1ABF"/>
    <w:rsid w:val="000B7B1F"/>
    <w:rsid w:val="00101BBD"/>
    <w:rsid w:val="0010318D"/>
    <w:rsid w:val="001C0FF5"/>
    <w:rsid w:val="0024315E"/>
    <w:rsid w:val="00246821"/>
    <w:rsid w:val="00262900"/>
    <w:rsid w:val="002715E9"/>
    <w:rsid w:val="00285E63"/>
    <w:rsid w:val="00286DD2"/>
    <w:rsid w:val="002940F4"/>
    <w:rsid w:val="002B2776"/>
    <w:rsid w:val="002B78E5"/>
    <w:rsid w:val="002D70A9"/>
    <w:rsid w:val="00316ECA"/>
    <w:rsid w:val="0036223A"/>
    <w:rsid w:val="00364FBF"/>
    <w:rsid w:val="003B0252"/>
    <w:rsid w:val="003C0AFC"/>
    <w:rsid w:val="003C2B44"/>
    <w:rsid w:val="003E500F"/>
    <w:rsid w:val="0041589E"/>
    <w:rsid w:val="00421CD0"/>
    <w:rsid w:val="00445D1F"/>
    <w:rsid w:val="00486C77"/>
    <w:rsid w:val="004B1703"/>
    <w:rsid w:val="004B1755"/>
    <w:rsid w:val="004B4E15"/>
    <w:rsid w:val="00501E69"/>
    <w:rsid w:val="00513ECD"/>
    <w:rsid w:val="00562567"/>
    <w:rsid w:val="00573B5B"/>
    <w:rsid w:val="005A4F80"/>
    <w:rsid w:val="005B022E"/>
    <w:rsid w:val="005D68D5"/>
    <w:rsid w:val="005E28FC"/>
    <w:rsid w:val="005E4437"/>
    <w:rsid w:val="00643E0F"/>
    <w:rsid w:val="00644228"/>
    <w:rsid w:val="006505CD"/>
    <w:rsid w:val="006575C9"/>
    <w:rsid w:val="006D6055"/>
    <w:rsid w:val="006E4E4E"/>
    <w:rsid w:val="00704F15"/>
    <w:rsid w:val="00721C57"/>
    <w:rsid w:val="007359A7"/>
    <w:rsid w:val="00795ED4"/>
    <w:rsid w:val="007C66BE"/>
    <w:rsid w:val="00843440"/>
    <w:rsid w:val="008C6389"/>
    <w:rsid w:val="00915998"/>
    <w:rsid w:val="0095009A"/>
    <w:rsid w:val="009E038A"/>
    <w:rsid w:val="00A12BF5"/>
    <w:rsid w:val="00A20FF7"/>
    <w:rsid w:val="00A33D78"/>
    <w:rsid w:val="00A82E7A"/>
    <w:rsid w:val="00B31D69"/>
    <w:rsid w:val="00B35879"/>
    <w:rsid w:val="00C04FD7"/>
    <w:rsid w:val="00C50F3E"/>
    <w:rsid w:val="00C54B66"/>
    <w:rsid w:val="00CA37AE"/>
    <w:rsid w:val="00CC4DFD"/>
    <w:rsid w:val="00D052B3"/>
    <w:rsid w:val="00D36DE2"/>
    <w:rsid w:val="00DF3AB3"/>
    <w:rsid w:val="00E36C1B"/>
    <w:rsid w:val="00E56F49"/>
    <w:rsid w:val="00EC3F1C"/>
    <w:rsid w:val="00EE26FE"/>
    <w:rsid w:val="00EF72F6"/>
    <w:rsid w:val="00F02A2D"/>
    <w:rsid w:val="00F25377"/>
    <w:rsid w:val="00F2556D"/>
    <w:rsid w:val="00F33DFF"/>
    <w:rsid w:val="00F37BCC"/>
    <w:rsid w:val="00F502F5"/>
    <w:rsid w:val="00F75CD8"/>
    <w:rsid w:val="00F919D4"/>
    <w:rsid w:val="00FA317E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85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F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4FBF"/>
  </w:style>
  <w:style w:type="paragraph" w:styleId="Rodap">
    <w:name w:val="footer"/>
    <w:basedOn w:val="Normal"/>
    <w:link w:val="RodapChar"/>
    <w:uiPriority w:val="99"/>
    <w:unhideWhenUsed/>
    <w:rsid w:val="00364F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4FBF"/>
  </w:style>
  <w:style w:type="paragraph" w:styleId="Textodebalo">
    <w:name w:val="Balloon Text"/>
    <w:basedOn w:val="Normal"/>
    <w:link w:val="TextodebaloChar"/>
    <w:uiPriority w:val="99"/>
    <w:semiHidden/>
    <w:unhideWhenUsed/>
    <w:rsid w:val="00364F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FB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4B4E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B4E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5E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5E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85E63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85E6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OmniPage3">
    <w:name w:val="OmniPage #3"/>
    <w:basedOn w:val="Normal"/>
    <w:rsid w:val="00285E63"/>
    <w:pPr>
      <w:ind w:left="2807" w:right="214"/>
      <w:jc w:val="both"/>
    </w:pPr>
    <w:rPr>
      <w:rFonts w:ascii="Arial" w:hAnsi="Arial" w:cs="Arial"/>
    </w:rPr>
  </w:style>
  <w:style w:type="paragraph" w:customStyle="1" w:styleId="OmniPage2">
    <w:name w:val="OmniPage #2"/>
    <w:basedOn w:val="Normal"/>
    <w:rsid w:val="00285E63"/>
    <w:pPr>
      <w:tabs>
        <w:tab w:val="right" w:pos="2772"/>
      </w:tabs>
      <w:ind w:left="2821" w:right="4505"/>
    </w:pPr>
    <w:rPr>
      <w:rFonts w:ascii="Arial" w:hAnsi="Arial" w:cs="Arial"/>
      <w:noProof/>
    </w:rPr>
  </w:style>
  <w:style w:type="paragraph" w:styleId="PargrafodaLista">
    <w:name w:val="List Paragraph"/>
    <w:basedOn w:val="Normal"/>
    <w:uiPriority w:val="34"/>
    <w:qFormat/>
    <w:rsid w:val="00C0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85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F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4FBF"/>
  </w:style>
  <w:style w:type="paragraph" w:styleId="Rodap">
    <w:name w:val="footer"/>
    <w:basedOn w:val="Normal"/>
    <w:link w:val="RodapChar"/>
    <w:uiPriority w:val="99"/>
    <w:unhideWhenUsed/>
    <w:rsid w:val="00364F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4FBF"/>
  </w:style>
  <w:style w:type="paragraph" w:styleId="Textodebalo">
    <w:name w:val="Balloon Text"/>
    <w:basedOn w:val="Normal"/>
    <w:link w:val="TextodebaloChar"/>
    <w:uiPriority w:val="99"/>
    <w:semiHidden/>
    <w:unhideWhenUsed/>
    <w:rsid w:val="00364F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FB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4B4E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B4E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5E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5E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85E63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85E6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OmniPage3">
    <w:name w:val="OmniPage #3"/>
    <w:basedOn w:val="Normal"/>
    <w:rsid w:val="00285E63"/>
    <w:pPr>
      <w:ind w:left="2807" w:right="214"/>
      <w:jc w:val="both"/>
    </w:pPr>
    <w:rPr>
      <w:rFonts w:ascii="Arial" w:hAnsi="Arial" w:cs="Arial"/>
    </w:rPr>
  </w:style>
  <w:style w:type="paragraph" w:customStyle="1" w:styleId="OmniPage2">
    <w:name w:val="OmniPage #2"/>
    <w:basedOn w:val="Normal"/>
    <w:rsid w:val="00285E63"/>
    <w:pPr>
      <w:tabs>
        <w:tab w:val="right" w:pos="2772"/>
      </w:tabs>
      <w:ind w:left="2821" w:right="4505"/>
    </w:pPr>
    <w:rPr>
      <w:rFonts w:ascii="Arial" w:hAnsi="Arial" w:cs="Arial"/>
      <w:noProof/>
    </w:rPr>
  </w:style>
  <w:style w:type="paragraph" w:styleId="PargrafodaLista">
    <w:name w:val="List Paragraph"/>
    <w:basedOn w:val="Normal"/>
    <w:uiPriority w:val="34"/>
    <w:qFormat/>
    <w:rsid w:val="00C0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520431-CAE0-4CAC-8FF7-3C56440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16116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Viotto</dc:creator>
  <cp:lastModifiedBy>Coordenador</cp:lastModifiedBy>
  <cp:revision>2</cp:revision>
  <cp:lastPrinted>2017-03-31T11:52:00Z</cp:lastPrinted>
  <dcterms:created xsi:type="dcterms:W3CDTF">2017-07-21T15:07:00Z</dcterms:created>
  <dcterms:modified xsi:type="dcterms:W3CDTF">2017-07-21T15:07:00Z</dcterms:modified>
</cp:coreProperties>
</file>